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9" w:rightFromText="189" w:vertAnchor="text"/>
        <w:tblW w:w="0" w:type="auto"/>
        <w:tblCellMar>
          <w:left w:w="0" w:type="dxa"/>
          <w:right w:w="0" w:type="dxa"/>
        </w:tblCellMar>
        <w:tblLook w:val="04A0" w:firstRow="1" w:lastRow="0" w:firstColumn="1" w:lastColumn="0" w:noHBand="0" w:noVBand="1"/>
      </w:tblPr>
      <w:tblGrid>
        <w:gridCol w:w="1850"/>
        <w:gridCol w:w="7490"/>
      </w:tblGrid>
      <w:tr w:rsidR="005256FD" w:rsidTr="005256FD">
        <w:trPr>
          <w:trHeight w:val="454"/>
        </w:trPr>
        <w:tc>
          <w:tcPr>
            <w:tcW w:w="2202"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5256FD" w:rsidRDefault="00BE4F72">
            <w:pPr>
              <w:rPr>
                <w:b/>
                <w:bCs/>
                <w:lang w:val="nl-NL" w:eastAsia="nl-NL"/>
              </w:rPr>
            </w:pPr>
            <w:r>
              <w:rPr>
                <w:b/>
                <w:bCs/>
                <w:lang w:val="nl-NL" w:eastAsia="nl-NL"/>
              </w:rPr>
              <w:t>11 oktober 2018</w:t>
            </w:r>
          </w:p>
        </w:tc>
        <w:tc>
          <w:tcPr>
            <w:tcW w:w="9414"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5256FD" w:rsidRDefault="005256FD" w:rsidP="00BE4F72">
            <w:pPr>
              <w:rPr>
                <w:b/>
                <w:bCs/>
                <w:lang w:val="nl-NL" w:eastAsia="nl-NL"/>
              </w:rPr>
            </w:pPr>
            <w:r>
              <w:rPr>
                <w:b/>
                <w:bCs/>
                <w:lang w:val="nl-NL" w:eastAsia="nl-NL"/>
              </w:rPr>
              <w:t xml:space="preserve">Avondscholing: </w:t>
            </w:r>
            <w:r w:rsidR="00BE4F72">
              <w:rPr>
                <w:b/>
                <w:bCs/>
                <w:lang w:val="nl-NL" w:eastAsia="nl-NL"/>
              </w:rPr>
              <w:t xml:space="preserve">workshop </w:t>
            </w:r>
            <w:r w:rsidR="00552AE7">
              <w:rPr>
                <w:b/>
                <w:bCs/>
                <w:lang w:val="nl-NL" w:eastAsia="nl-NL"/>
              </w:rPr>
              <w:t xml:space="preserve">interpretatie </w:t>
            </w:r>
            <w:proofErr w:type="spellStart"/>
            <w:r w:rsidR="00BE4F72">
              <w:rPr>
                <w:b/>
                <w:bCs/>
                <w:lang w:val="nl-NL" w:eastAsia="nl-NL"/>
              </w:rPr>
              <w:t>labwaarden</w:t>
            </w:r>
            <w:proofErr w:type="spellEnd"/>
          </w:p>
        </w:tc>
      </w:tr>
      <w:tr w:rsidR="005256FD" w:rsidRPr="00536CF6" w:rsidTr="005256FD">
        <w:trPr>
          <w:trHeight w:val="256"/>
        </w:trPr>
        <w:tc>
          <w:tcPr>
            <w:tcW w:w="2202"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tcPr>
          <w:p w:rsidR="005256FD" w:rsidRDefault="00BE4F72">
            <w:pPr>
              <w:rPr>
                <w:lang w:val="nl-NL" w:eastAsia="nl-NL"/>
              </w:rPr>
            </w:pPr>
            <w:r>
              <w:rPr>
                <w:lang w:val="nl-NL" w:eastAsia="nl-NL"/>
              </w:rPr>
              <w:t>Inhoud</w:t>
            </w:r>
          </w:p>
        </w:tc>
        <w:tc>
          <w:tcPr>
            <w:tcW w:w="9414" w:type="dxa"/>
            <w:tcBorders>
              <w:top w:val="nil"/>
              <w:left w:val="nil"/>
              <w:bottom w:val="single" w:sz="8" w:space="0" w:color="A6A6A6"/>
              <w:right w:val="single" w:sz="8" w:space="0" w:color="A6A6A6"/>
            </w:tcBorders>
            <w:tcMar>
              <w:top w:w="0" w:type="dxa"/>
              <w:left w:w="108" w:type="dxa"/>
              <w:bottom w:w="0" w:type="dxa"/>
              <w:right w:w="108" w:type="dxa"/>
            </w:tcMar>
            <w:vAlign w:val="center"/>
          </w:tcPr>
          <w:p w:rsidR="00536CF6" w:rsidRDefault="00536CF6" w:rsidP="00536CF6">
            <w:pPr>
              <w:pStyle w:val="Geenafstand"/>
              <w:jc w:val="both"/>
            </w:pPr>
            <w:r>
              <w:t xml:space="preserve">Vaak worden de elektrolyten, nierfunctie, leverintegraal en ontstekings-parameters standaard aangekruist op het laboratoriumformulier. Bij rode cijfers begint het nadenken over de oorzaak en het bedenken van de oplossing. Maar waarom is de kalium-uitslag rood en hoe hard moet je gaan rennen? Wat doe je met rode cijfers die je eigenlijk niet had verwacht? Waarom kijk je naar het CRP of juist BSE? Duik samen met een deskundige in de basis en verdieping van de interpretatie van </w:t>
            </w:r>
            <w:proofErr w:type="spellStart"/>
            <w:r>
              <w:t>labwaarden</w:t>
            </w:r>
            <w:proofErr w:type="spellEnd"/>
            <w:r>
              <w:t>. Na deze avond is je kennis over basis- laboratoriumonderzoek en de interpretatie daarvan opgefrist.</w:t>
            </w:r>
          </w:p>
          <w:p w:rsidR="00536CF6" w:rsidRDefault="00536CF6" w:rsidP="00536CF6">
            <w:pPr>
              <w:jc w:val="both"/>
              <w:rPr>
                <w:lang w:val="nl-NL"/>
              </w:rPr>
            </w:pPr>
          </w:p>
          <w:p w:rsidR="00BE4F72" w:rsidRPr="00BE4F72" w:rsidRDefault="00BE4F72" w:rsidP="00536CF6">
            <w:pPr>
              <w:jc w:val="both"/>
              <w:rPr>
                <w:lang w:val="nl-NL"/>
              </w:rPr>
            </w:pPr>
            <w:r w:rsidRPr="00BE4F72">
              <w:rPr>
                <w:lang w:val="nl-NL"/>
              </w:rPr>
              <w:t>De bezoeker:</w:t>
            </w:r>
          </w:p>
          <w:p w:rsidR="00BE4F72" w:rsidRDefault="00BE4F72" w:rsidP="00536CF6">
            <w:pPr>
              <w:pStyle w:val="Lijstalinea"/>
              <w:numPr>
                <w:ilvl w:val="0"/>
                <w:numId w:val="3"/>
              </w:numPr>
              <w:ind w:left="197" w:hanging="207"/>
              <w:jc w:val="both"/>
            </w:pPr>
            <w:r>
              <w:t>Kan het verschil benoemen tusse</w:t>
            </w:r>
            <w:r w:rsidR="00536CF6">
              <w:t xml:space="preserve">n klinische chemie, stolling en </w:t>
            </w:r>
            <w:r>
              <w:t xml:space="preserve">hematologische onderzoeken. </w:t>
            </w:r>
          </w:p>
          <w:p w:rsidR="00BE4F72" w:rsidRDefault="00BE4F72" w:rsidP="00536CF6">
            <w:pPr>
              <w:pStyle w:val="Lijstalinea"/>
              <w:numPr>
                <w:ilvl w:val="0"/>
                <w:numId w:val="3"/>
              </w:numPr>
              <w:ind w:left="197" w:hanging="207"/>
              <w:jc w:val="both"/>
            </w:pPr>
            <w:r>
              <w:t xml:space="preserve">Kan de verschillen benoemen tussen de kleuren buizen en kent de logica achter de volgorde van afname. </w:t>
            </w:r>
          </w:p>
          <w:p w:rsidR="00BE4F72" w:rsidRDefault="00BE4F72" w:rsidP="00536CF6">
            <w:pPr>
              <w:pStyle w:val="Lijstalinea"/>
              <w:numPr>
                <w:ilvl w:val="0"/>
                <w:numId w:val="3"/>
              </w:numPr>
              <w:ind w:left="197" w:hanging="207"/>
              <w:jc w:val="both"/>
            </w:pPr>
            <w:r>
              <w:t>Kan standaard laboratoriumonderzoek indiceren (d.w.z. weet wanneer bloedbeeld, BSE, CRP, elektrolyten, nierfunctie, leverintegraal, etc.) kan worden onderzocht)</w:t>
            </w:r>
          </w:p>
          <w:p w:rsidR="00BE4F72" w:rsidRDefault="00BE4F72" w:rsidP="00536CF6">
            <w:pPr>
              <w:pStyle w:val="Lijstalinea"/>
              <w:numPr>
                <w:ilvl w:val="0"/>
                <w:numId w:val="3"/>
              </w:numPr>
              <w:ind w:left="197" w:hanging="207"/>
              <w:jc w:val="both"/>
            </w:pPr>
            <w:r>
              <w:t>Kan standaard laboratoriumonderzoek interpreteren (d.w.z. de uitslag van bloedbeeld, BSE, CRP, elektrolyten, nierfunctie, leverintegraal, etc.)</w:t>
            </w:r>
          </w:p>
          <w:p w:rsidR="00BE4F72" w:rsidRDefault="00BE4F72" w:rsidP="00536CF6">
            <w:pPr>
              <w:pStyle w:val="Lijstalinea"/>
              <w:numPr>
                <w:ilvl w:val="0"/>
                <w:numId w:val="3"/>
              </w:numPr>
              <w:ind w:left="197" w:hanging="207"/>
              <w:jc w:val="both"/>
            </w:pPr>
            <w:r>
              <w:t xml:space="preserve">Kan bovenstaande toepassen op casuïstiek. </w:t>
            </w:r>
          </w:p>
          <w:p w:rsidR="00BE4F72" w:rsidRDefault="00BE4F72" w:rsidP="00536CF6">
            <w:pPr>
              <w:pStyle w:val="Lijstalinea"/>
              <w:numPr>
                <w:ilvl w:val="0"/>
                <w:numId w:val="3"/>
              </w:numPr>
              <w:ind w:left="197" w:hanging="207"/>
              <w:jc w:val="both"/>
            </w:pPr>
            <w:r>
              <w:t>Evt.: Is zich bewust van kosten van standaardlabonderzoek</w:t>
            </w:r>
          </w:p>
          <w:p w:rsidR="00BE4F72" w:rsidRDefault="00BE4F72" w:rsidP="00536CF6">
            <w:pPr>
              <w:pStyle w:val="Lijstalinea"/>
              <w:numPr>
                <w:ilvl w:val="0"/>
                <w:numId w:val="3"/>
              </w:numPr>
              <w:ind w:left="197" w:hanging="207"/>
              <w:jc w:val="both"/>
            </w:pPr>
            <w:r>
              <w:t>Evt.: Is zich bewust van sensitiviteit en specificiteit van laboratoriumonderzoek of geselecteerde testen (wat zegt het? Insluiten/uitsluiten ziekte?)</w:t>
            </w:r>
          </w:p>
          <w:p w:rsidR="005256FD" w:rsidRDefault="005256FD">
            <w:pPr>
              <w:rPr>
                <w:lang w:val="nl-NL" w:eastAsia="nl-NL"/>
              </w:rPr>
            </w:pPr>
          </w:p>
        </w:tc>
      </w:tr>
      <w:tr w:rsidR="005256FD" w:rsidRPr="00C472D7" w:rsidTr="005256FD">
        <w:trPr>
          <w:trHeight w:val="567"/>
        </w:trPr>
        <w:tc>
          <w:tcPr>
            <w:tcW w:w="2202"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5256FD" w:rsidRDefault="005256FD">
            <w:pPr>
              <w:rPr>
                <w:lang w:val="nl-NL" w:eastAsia="nl-NL"/>
              </w:rPr>
            </w:pPr>
            <w:r>
              <w:rPr>
                <w:lang w:val="nl-NL" w:eastAsia="nl-NL"/>
              </w:rPr>
              <w:t>18.00 – 19.00 uur</w:t>
            </w:r>
          </w:p>
        </w:tc>
        <w:tc>
          <w:tcPr>
            <w:tcW w:w="9414"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5256FD" w:rsidRDefault="005256FD" w:rsidP="00552AE7">
            <w:pPr>
              <w:rPr>
                <w:lang w:val="nl-NL" w:eastAsia="nl-NL"/>
              </w:rPr>
            </w:pPr>
            <w:r>
              <w:rPr>
                <w:lang w:val="nl-NL" w:eastAsia="nl-NL"/>
              </w:rPr>
              <w:t>Ontvangst met soep</w:t>
            </w:r>
            <w:r w:rsidR="00552AE7">
              <w:rPr>
                <w:lang w:val="nl-NL" w:eastAsia="nl-NL"/>
              </w:rPr>
              <w:t xml:space="preserve">, salade en luxe </w:t>
            </w:r>
            <w:r>
              <w:rPr>
                <w:lang w:val="nl-NL" w:eastAsia="nl-NL"/>
              </w:rPr>
              <w:t>broodjes</w:t>
            </w:r>
          </w:p>
        </w:tc>
      </w:tr>
      <w:tr w:rsidR="005256FD" w:rsidRPr="00C472D7" w:rsidTr="005256FD">
        <w:trPr>
          <w:trHeight w:val="567"/>
        </w:trPr>
        <w:tc>
          <w:tcPr>
            <w:tcW w:w="2202"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5256FD" w:rsidRDefault="00C472D7" w:rsidP="00C472D7">
            <w:pPr>
              <w:rPr>
                <w:lang w:val="nl-NL" w:eastAsia="nl-NL"/>
              </w:rPr>
            </w:pPr>
            <w:r>
              <w:rPr>
                <w:lang w:val="nl-NL" w:eastAsia="nl-NL"/>
              </w:rPr>
              <w:t>19.00 – 19.55</w:t>
            </w:r>
            <w:r w:rsidR="005256FD">
              <w:rPr>
                <w:lang w:val="nl-NL" w:eastAsia="nl-NL"/>
              </w:rPr>
              <w:t xml:space="preserve"> uur</w:t>
            </w:r>
          </w:p>
        </w:tc>
        <w:tc>
          <w:tcPr>
            <w:tcW w:w="9414"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5256FD" w:rsidRDefault="00BE4F72">
            <w:pPr>
              <w:rPr>
                <w:lang w:val="nl-NL" w:eastAsia="nl-NL"/>
              </w:rPr>
            </w:pPr>
            <w:r>
              <w:rPr>
                <w:lang w:val="nl-NL" w:eastAsia="nl-NL"/>
              </w:rPr>
              <w:t>Deel I: theoretische achtergrond door drs. T.J.A. Hutten, Klinisch Chemicus i.o. UMCU</w:t>
            </w:r>
          </w:p>
        </w:tc>
      </w:tr>
      <w:tr w:rsidR="005256FD" w:rsidRPr="00BE4F72" w:rsidTr="005256FD">
        <w:trPr>
          <w:trHeight w:val="567"/>
        </w:trPr>
        <w:tc>
          <w:tcPr>
            <w:tcW w:w="2202"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5256FD" w:rsidRDefault="005256FD" w:rsidP="00C472D7">
            <w:pPr>
              <w:rPr>
                <w:lang w:val="nl-NL" w:eastAsia="nl-NL"/>
              </w:rPr>
            </w:pPr>
            <w:r>
              <w:rPr>
                <w:lang w:val="nl-NL" w:eastAsia="nl-NL"/>
              </w:rPr>
              <w:t>19.</w:t>
            </w:r>
            <w:r w:rsidR="00C472D7">
              <w:rPr>
                <w:lang w:val="nl-NL" w:eastAsia="nl-NL"/>
              </w:rPr>
              <w:t>55</w:t>
            </w:r>
            <w:bookmarkStart w:id="0" w:name="_GoBack"/>
            <w:bookmarkEnd w:id="0"/>
            <w:r>
              <w:rPr>
                <w:lang w:val="nl-NL" w:eastAsia="nl-NL"/>
              </w:rPr>
              <w:t xml:space="preserve"> – 20.00 uur</w:t>
            </w:r>
          </w:p>
        </w:tc>
        <w:tc>
          <w:tcPr>
            <w:tcW w:w="9414"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5256FD" w:rsidRDefault="005256FD">
            <w:pPr>
              <w:rPr>
                <w:lang w:val="nl-NL" w:eastAsia="nl-NL"/>
              </w:rPr>
            </w:pPr>
            <w:r>
              <w:rPr>
                <w:lang w:val="nl-NL" w:eastAsia="nl-NL"/>
              </w:rPr>
              <w:t xml:space="preserve">Pauze </w:t>
            </w:r>
          </w:p>
        </w:tc>
      </w:tr>
      <w:tr w:rsidR="005256FD" w:rsidRPr="00C472D7" w:rsidTr="005256FD">
        <w:trPr>
          <w:trHeight w:val="567"/>
        </w:trPr>
        <w:tc>
          <w:tcPr>
            <w:tcW w:w="2202"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5256FD" w:rsidRDefault="005256FD">
            <w:pPr>
              <w:rPr>
                <w:lang w:val="nl-NL" w:eastAsia="nl-NL"/>
              </w:rPr>
            </w:pPr>
            <w:r>
              <w:rPr>
                <w:lang w:val="nl-NL" w:eastAsia="nl-NL"/>
              </w:rPr>
              <w:t>20.00 – 22.00 uur</w:t>
            </w:r>
          </w:p>
        </w:tc>
        <w:tc>
          <w:tcPr>
            <w:tcW w:w="9414"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5256FD" w:rsidRDefault="00BE4F72" w:rsidP="00BE4F72">
            <w:pPr>
              <w:rPr>
                <w:lang w:val="nl-NL" w:eastAsia="nl-NL"/>
              </w:rPr>
            </w:pPr>
            <w:r>
              <w:rPr>
                <w:lang w:val="nl-NL" w:eastAsia="nl-NL"/>
              </w:rPr>
              <w:t>Deel II: praktijkgerichte workshop door drs. T.J.A. Hutten, Klinisch Chemicus i.o. UMCU</w:t>
            </w:r>
          </w:p>
        </w:tc>
      </w:tr>
    </w:tbl>
    <w:p w:rsidR="00F07957" w:rsidRDefault="00C472D7">
      <w:pPr>
        <w:rPr>
          <w:lang w:val="nl-NL"/>
        </w:rPr>
      </w:pPr>
    </w:p>
    <w:p w:rsidR="005256FD" w:rsidRDefault="005256FD">
      <w:pPr>
        <w:rPr>
          <w:lang w:val="nl-NL"/>
        </w:rPr>
      </w:pPr>
    </w:p>
    <w:p w:rsidR="005256FD" w:rsidRPr="005256FD" w:rsidRDefault="005256FD" w:rsidP="005256FD">
      <w:pPr>
        <w:spacing w:line="480" w:lineRule="auto"/>
        <w:rPr>
          <w:lang w:val="nl-NL"/>
        </w:rPr>
      </w:pPr>
      <w:r>
        <w:rPr>
          <w:lang w:val="nl-NL"/>
        </w:rPr>
        <w:t>------------------------------------------------------------------------------------------------------------------------------------------</w:t>
      </w:r>
    </w:p>
    <w:p w:rsidR="005256FD" w:rsidRPr="005256FD" w:rsidRDefault="005256FD" w:rsidP="005256FD">
      <w:pPr>
        <w:spacing w:line="480" w:lineRule="auto"/>
        <w:rPr>
          <w:lang w:val="nl-NL"/>
        </w:rPr>
      </w:pPr>
      <w:r>
        <w:rPr>
          <w:lang w:val="nl-NL"/>
        </w:rPr>
        <w:t>------------------------------------------------------------------------------------------------------------------------------------------</w:t>
      </w:r>
    </w:p>
    <w:p w:rsidR="005256FD" w:rsidRPr="005256FD" w:rsidRDefault="005256FD" w:rsidP="005256FD">
      <w:pPr>
        <w:spacing w:line="480" w:lineRule="auto"/>
        <w:rPr>
          <w:lang w:val="nl-NL"/>
        </w:rPr>
      </w:pPr>
      <w:r>
        <w:rPr>
          <w:lang w:val="nl-NL"/>
        </w:rPr>
        <w:t>------------------------------------------------------------------------------------------------------------------------------------------</w:t>
      </w:r>
    </w:p>
    <w:p w:rsidR="005256FD" w:rsidRPr="005256FD" w:rsidRDefault="005256FD" w:rsidP="005256FD">
      <w:pPr>
        <w:spacing w:line="480" w:lineRule="auto"/>
        <w:rPr>
          <w:lang w:val="nl-NL"/>
        </w:rPr>
      </w:pPr>
      <w:r>
        <w:rPr>
          <w:lang w:val="nl-NL"/>
        </w:rPr>
        <w:t>------------------------------------------------------------------------------------------------------------------------------------------</w:t>
      </w:r>
    </w:p>
    <w:p w:rsidR="005256FD" w:rsidRPr="005256FD" w:rsidRDefault="005256FD" w:rsidP="005256FD">
      <w:pPr>
        <w:spacing w:line="480" w:lineRule="auto"/>
        <w:rPr>
          <w:lang w:val="nl-NL"/>
        </w:rPr>
      </w:pPr>
      <w:r>
        <w:rPr>
          <w:lang w:val="nl-NL"/>
        </w:rPr>
        <w:t>------------------------------------------------------------------------------------------------------------------------------------------</w:t>
      </w:r>
    </w:p>
    <w:p w:rsidR="005256FD" w:rsidRPr="005256FD" w:rsidRDefault="005256FD" w:rsidP="005256FD">
      <w:pPr>
        <w:spacing w:line="480" w:lineRule="auto"/>
        <w:rPr>
          <w:lang w:val="nl-NL"/>
        </w:rPr>
      </w:pPr>
      <w:r>
        <w:rPr>
          <w:lang w:val="nl-NL"/>
        </w:rPr>
        <w:t>------------------------------------------------------------------------------------------------------------------------------------------</w:t>
      </w:r>
    </w:p>
    <w:sectPr w:rsidR="005256FD" w:rsidRPr="00525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4B4F"/>
    <w:multiLevelType w:val="hybridMultilevel"/>
    <w:tmpl w:val="CABC4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BE1175"/>
    <w:multiLevelType w:val="hybridMultilevel"/>
    <w:tmpl w:val="86700B60"/>
    <w:lvl w:ilvl="0" w:tplc="B582D5E6">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A81472"/>
    <w:multiLevelType w:val="hybridMultilevel"/>
    <w:tmpl w:val="3448000A"/>
    <w:lvl w:ilvl="0" w:tplc="B582D5E6">
      <w:numFmt w:val="bullet"/>
      <w:lvlText w:val="-"/>
      <w:lvlJc w:val="left"/>
      <w:pPr>
        <w:ind w:left="-720" w:hanging="720"/>
      </w:pPr>
      <w:rPr>
        <w:rFonts w:ascii="Calibri" w:eastAsiaTheme="minorHAnsi" w:hAnsi="Calibri" w:cs="Calibri"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1080" w:hanging="360"/>
      </w:pPr>
      <w:rPr>
        <w:rFonts w:ascii="Symbol" w:hAnsi="Symbol" w:hint="default"/>
      </w:rPr>
    </w:lvl>
    <w:lvl w:ilvl="4" w:tplc="04130003" w:tentative="1">
      <w:start w:val="1"/>
      <w:numFmt w:val="bullet"/>
      <w:lvlText w:val="o"/>
      <w:lvlJc w:val="left"/>
      <w:pPr>
        <w:ind w:left="1800" w:hanging="360"/>
      </w:pPr>
      <w:rPr>
        <w:rFonts w:ascii="Courier New" w:hAnsi="Courier New" w:cs="Courier New" w:hint="default"/>
      </w:rPr>
    </w:lvl>
    <w:lvl w:ilvl="5" w:tplc="04130005" w:tentative="1">
      <w:start w:val="1"/>
      <w:numFmt w:val="bullet"/>
      <w:lvlText w:val=""/>
      <w:lvlJc w:val="left"/>
      <w:pPr>
        <w:ind w:left="2520" w:hanging="360"/>
      </w:pPr>
      <w:rPr>
        <w:rFonts w:ascii="Wingdings" w:hAnsi="Wingdings" w:hint="default"/>
      </w:rPr>
    </w:lvl>
    <w:lvl w:ilvl="6" w:tplc="04130001" w:tentative="1">
      <w:start w:val="1"/>
      <w:numFmt w:val="bullet"/>
      <w:lvlText w:val=""/>
      <w:lvlJc w:val="left"/>
      <w:pPr>
        <w:ind w:left="3240" w:hanging="360"/>
      </w:pPr>
      <w:rPr>
        <w:rFonts w:ascii="Symbol" w:hAnsi="Symbol" w:hint="default"/>
      </w:rPr>
    </w:lvl>
    <w:lvl w:ilvl="7" w:tplc="04130003" w:tentative="1">
      <w:start w:val="1"/>
      <w:numFmt w:val="bullet"/>
      <w:lvlText w:val="o"/>
      <w:lvlJc w:val="left"/>
      <w:pPr>
        <w:ind w:left="3960" w:hanging="360"/>
      </w:pPr>
      <w:rPr>
        <w:rFonts w:ascii="Courier New" w:hAnsi="Courier New" w:cs="Courier New" w:hint="default"/>
      </w:rPr>
    </w:lvl>
    <w:lvl w:ilvl="8" w:tplc="04130005" w:tentative="1">
      <w:start w:val="1"/>
      <w:numFmt w:val="bullet"/>
      <w:lvlText w:val=""/>
      <w:lvlJc w:val="left"/>
      <w:pPr>
        <w:ind w:left="4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FD"/>
    <w:rsid w:val="005256FD"/>
    <w:rsid w:val="00536CF6"/>
    <w:rsid w:val="00552AE7"/>
    <w:rsid w:val="00904A6B"/>
    <w:rsid w:val="00BE4F72"/>
    <w:rsid w:val="00C472D7"/>
    <w:rsid w:val="00E2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7ECC"/>
  <w15:chartTrackingRefBased/>
  <w15:docId w15:val="{A79857B9-5050-448E-AAEE-B26C4CA6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6F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4F72"/>
    <w:pPr>
      <w:ind w:left="720"/>
    </w:pPr>
    <w:rPr>
      <w:rFonts w:cs="Calibri"/>
      <w:lang w:val="nl-NL"/>
    </w:rPr>
  </w:style>
  <w:style w:type="paragraph" w:styleId="Geenafstand">
    <w:name w:val="No Spacing"/>
    <w:basedOn w:val="Standaard"/>
    <w:uiPriority w:val="1"/>
    <w:qFormat/>
    <w:rsid w:val="00536CF6"/>
    <w:rPr>
      <w:rFonts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361">
      <w:bodyDiv w:val="1"/>
      <w:marLeft w:val="0"/>
      <w:marRight w:val="0"/>
      <w:marTop w:val="0"/>
      <w:marBottom w:val="0"/>
      <w:divBdr>
        <w:top w:val="none" w:sz="0" w:space="0" w:color="auto"/>
        <w:left w:val="none" w:sz="0" w:space="0" w:color="auto"/>
        <w:bottom w:val="none" w:sz="0" w:space="0" w:color="auto"/>
        <w:right w:val="none" w:sz="0" w:space="0" w:color="auto"/>
      </w:divBdr>
    </w:div>
    <w:div w:id="1406563961">
      <w:bodyDiv w:val="1"/>
      <w:marLeft w:val="0"/>
      <w:marRight w:val="0"/>
      <w:marTop w:val="0"/>
      <w:marBottom w:val="0"/>
      <w:divBdr>
        <w:top w:val="none" w:sz="0" w:space="0" w:color="auto"/>
        <w:left w:val="none" w:sz="0" w:space="0" w:color="auto"/>
        <w:bottom w:val="none" w:sz="0" w:space="0" w:color="auto"/>
        <w:right w:val="none" w:sz="0" w:space="0" w:color="auto"/>
      </w:divBdr>
    </w:div>
    <w:div w:id="21428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Yonna van Esch</dc:creator>
  <cp:keywords/>
  <dc:description/>
  <cp:lastModifiedBy>Yonna van Esch</cp:lastModifiedBy>
  <cp:revision>5</cp:revision>
  <dcterms:created xsi:type="dcterms:W3CDTF">2018-07-11T19:49:00Z</dcterms:created>
  <dcterms:modified xsi:type="dcterms:W3CDTF">2018-07-12T13:33:00Z</dcterms:modified>
</cp:coreProperties>
</file>